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C5038" w14:textId="1F1175AD" w:rsidR="00DF799B" w:rsidRPr="00006F8D" w:rsidRDefault="00000000">
      <w:pPr>
        <w:spacing w:after="280"/>
        <w:jc w:val="center"/>
        <w:rPr>
          <w:sz w:val="28"/>
          <w:szCs w:val="28"/>
          <w:lang w:val="fr-FR"/>
        </w:rPr>
      </w:pPr>
      <w:r w:rsidRPr="00006F8D">
        <w:rPr>
          <w:b/>
          <w:bCs/>
          <w:sz w:val="28"/>
          <w:szCs w:val="28"/>
          <w:lang w:val="fr-FR"/>
        </w:rPr>
        <w:t>TITRE</w:t>
      </w:r>
    </w:p>
    <w:p w14:paraId="790E215F" w14:textId="77777777" w:rsidR="00DF799B" w:rsidRPr="00430FDC" w:rsidRDefault="00000000" w:rsidP="00430FDC">
      <w:pPr>
        <w:spacing w:after="300"/>
        <w:jc w:val="right"/>
        <w:rPr>
          <w:lang w:val="fr-FR"/>
        </w:rPr>
      </w:pPr>
      <w:r w:rsidRPr="00430FDC">
        <w:rPr>
          <w:b/>
          <w:bCs/>
          <w:sz w:val="24"/>
          <w:szCs w:val="24"/>
          <w:lang w:val="fr-FR"/>
        </w:rPr>
        <w:t>Prénom NOM</w:t>
      </w:r>
      <w:r>
        <w:rPr>
          <w:rStyle w:val="FootnoteReference"/>
        </w:rPr>
        <w:footnoteReference w:id="1"/>
      </w:r>
    </w:p>
    <w:p w14:paraId="2E234016" w14:textId="77777777" w:rsidR="00DF799B" w:rsidRPr="00430FDC" w:rsidRDefault="00000000">
      <w:pPr>
        <w:spacing w:before="60" w:after="160"/>
        <w:jc w:val="both"/>
        <w:rPr>
          <w:lang w:val="fr-FR"/>
        </w:rPr>
      </w:pPr>
      <w:r w:rsidRPr="00430FDC">
        <w:rPr>
          <w:b/>
          <w:bCs/>
          <w:i/>
          <w:iCs/>
          <w:sz w:val="22"/>
          <w:szCs w:val="22"/>
          <w:lang w:val="fr-FR"/>
        </w:rPr>
        <w:t>Les articles rédigés dans une langue autre que l’anglais doivent être accompagnés d’une traduction anglaise du titre, du résumé, des mots-clés et de la notice biographique.</w:t>
      </w:r>
    </w:p>
    <w:p w14:paraId="195E5F3D" w14:textId="77777777" w:rsidR="00DF799B" w:rsidRPr="00430FDC" w:rsidRDefault="00000000">
      <w:pPr>
        <w:spacing w:after="320"/>
        <w:jc w:val="both"/>
        <w:rPr>
          <w:lang w:val="fr-FR"/>
        </w:rPr>
      </w:pPr>
      <w:r w:rsidRPr="00430FDC">
        <w:rPr>
          <w:i/>
          <w:iCs/>
          <w:sz w:val="22"/>
          <w:szCs w:val="22"/>
          <w:lang w:val="fr-FR"/>
        </w:rPr>
        <w:t>Afin de préserver l’évaluation en double aveugle, le manuscrit lui-même ne doit comporter aucune information susceptible d’identifier l’auteur ou les auteurs, y compris les autocitations à la première personne ; les coordonnées de l’auteur figurent uniquement dans le bloc de titre et la note de bas de page ci-dessus.</w:t>
      </w:r>
    </w:p>
    <w:p w14:paraId="5478796E" w14:textId="77777777" w:rsidR="00DF799B" w:rsidRPr="00430FDC" w:rsidRDefault="00000000">
      <w:pPr>
        <w:spacing w:after="100"/>
        <w:rPr>
          <w:lang w:val="fr-FR"/>
        </w:rPr>
      </w:pPr>
      <w:r w:rsidRPr="00430FDC">
        <w:rPr>
          <w:b/>
          <w:bCs/>
          <w:i/>
          <w:iCs/>
          <w:sz w:val="22"/>
          <w:szCs w:val="22"/>
          <w:lang w:val="fr-FR"/>
        </w:rPr>
        <w:t>Résumé</w:t>
      </w:r>
    </w:p>
    <w:p w14:paraId="2CD75BBC" w14:textId="3C2A7722" w:rsidR="00DF799B" w:rsidRPr="00430FDC" w:rsidRDefault="00000000">
      <w:pPr>
        <w:spacing w:after="260" w:line="276" w:lineRule="auto"/>
        <w:ind w:left="576" w:right="576"/>
        <w:jc w:val="both"/>
        <w:rPr>
          <w:lang w:val="fr-FR"/>
        </w:rPr>
      </w:pPr>
      <w:r w:rsidRPr="00430FDC">
        <w:rPr>
          <w:i/>
          <w:iCs/>
          <w:sz w:val="22"/>
          <w:szCs w:val="22"/>
          <w:lang w:val="fr-FR"/>
        </w:rPr>
        <w:t xml:space="preserve">Le résumé doit constituer un </w:t>
      </w:r>
      <w:r w:rsidR="00430FDC" w:rsidRPr="00430FDC">
        <w:rPr>
          <w:i/>
          <w:iCs/>
          <w:sz w:val="22"/>
          <w:szCs w:val="22"/>
          <w:lang w:val="fr-FR"/>
        </w:rPr>
        <w:t xml:space="preserve">être rédigé en un seul </w:t>
      </w:r>
      <w:r w:rsidRPr="00430FDC">
        <w:rPr>
          <w:i/>
          <w:iCs/>
          <w:sz w:val="22"/>
          <w:szCs w:val="22"/>
          <w:lang w:val="fr-FR"/>
        </w:rPr>
        <w:t>paragraphe unique et non structuré d’au maximum 150 mots, rédigé en anglais, indiquant l’objectif, la démarche et les principales conclusions de l’article. Présentation : Times New Roman, 11, italique, interligne simple, justifié.</w:t>
      </w:r>
    </w:p>
    <w:p w14:paraId="5CE70EEA" w14:textId="77777777" w:rsidR="00DF799B" w:rsidRPr="00430FDC" w:rsidRDefault="00000000">
      <w:pPr>
        <w:spacing w:after="320" w:line="276" w:lineRule="auto"/>
        <w:jc w:val="both"/>
        <w:rPr>
          <w:lang w:val="fr-FR"/>
        </w:rPr>
      </w:pPr>
      <w:r w:rsidRPr="00430FDC">
        <w:rPr>
          <w:b/>
          <w:bCs/>
          <w:i/>
          <w:iCs/>
          <w:sz w:val="22"/>
          <w:szCs w:val="22"/>
          <w:lang w:val="fr-FR"/>
        </w:rPr>
        <w:t xml:space="preserve">Mots-clés : </w:t>
      </w:r>
      <w:r w:rsidRPr="00430FDC">
        <w:rPr>
          <w:sz w:val="22"/>
          <w:szCs w:val="22"/>
          <w:lang w:val="fr-FR"/>
        </w:rPr>
        <w:t>exactement 5 mots-clés, indiqués à la suite du résumé et séparés par des points-virgules.</w:t>
      </w:r>
    </w:p>
    <w:p w14:paraId="27341C1F" w14:textId="77777777" w:rsidR="00DF799B" w:rsidRPr="00006F8D" w:rsidRDefault="00000000">
      <w:pPr>
        <w:spacing w:before="360" w:after="180"/>
        <w:rPr>
          <w:sz w:val="24"/>
          <w:szCs w:val="24"/>
          <w:lang w:val="fr-FR"/>
        </w:rPr>
      </w:pPr>
      <w:r w:rsidRPr="00006F8D">
        <w:rPr>
          <w:b/>
          <w:bCs/>
          <w:sz w:val="24"/>
          <w:szCs w:val="24"/>
          <w:lang w:val="fr-FR"/>
        </w:rPr>
        <w:t>1. Introduction</w:t>
      </w:r>
    </w:p>
    <w:p w14:paraId="1527A76F" w14:textId="77777777" w:rsidR="00DF799B" w:rsidRPr="00430FDC" w:rsidRDefault="00000000">
      <w:pPr>
        <w:spacing w:after="200" w:line="276" w:lineRule="auto"/>
        <w:jc w:val="both"/>
        <w:rPr>
          <w:lang w:val="fr-FR"/>
        </w:rPr>
      </w:pPr>
      <w:r w:rsidRPr="00430FDC">
        <w:rPr>
          <w:sz w:val="22"/>
          <w:szCs w:val="22"/>
          <w:lang w:val="fr-FR"/>
        </w:rPr>
        <w:t>Le corps du texte doit être rédigé en Times New Roman 11, justifié, les paragraphes étant séparés par un interligne. L’ensemble du manuscrit — notes et références comprises — ne doit pas dépasser 8 000 mots (soit environ 48 000 signes, espaces comprises). Format A4, marges normales (2,54 cm de chaque côté).</w:t>
      </w:r>
    </w:p>
    <w:p w14:paraId="2D4EFC75" w14:textId="77777777" w:rsidR="00DF799B" w:rsidRPr="00430FDC" w:rsidRDefault="00000000">
      <w:pPr>
        <w:spacing w:after="200" w:line="276" w:lineRule="auto"/>
        <w:jc w:val="both"/>
        <w:rPr>
          <w:lang w:val="fr-FR"/>
        </w:rPr>
      </w:pPr>
      <w:r w:rsidRPr="00430FDC">
        <w:rPr>
          <w:sz w:val="22"/>
          <w:szCs w:val="22"/>
          <w:lang w:val="fr-FR"/>
        </w:rPr>
        <w:t>Utiliser exclusivement les notes de bas de page pour toute information complémentaire.</w:t>
      </w:r>
    </w:p>
    <w:p w14:paraId="4A37D1A5" w14:textId="77777777" w:rsidR="00DF799B" w:rsidRPr="00430FDC" w:rsidRDefault="00000000">
      <w:pPr>
        <w:spacing w:after="200" w:line="276" w:lineRule="auto"/>
        <w:jc w:val="both"/>
        <w:rPr>
          <w:lang w:val="fr-FR"/>
        </w:rPr>
      </w:pPr>
      <w:r w:rsidRPr="00430FDC">
        <w:rPr>
          <w:sz w:val="22"/>
          <w:szCs w:val="22"/>
          <w:lang w:val="fr-FR"/>
        </w:rPr>
        <w:t>Les citations courtes sont incluses dans le corps du texte, entre guillemets français (« »). Les citations plus longues — de plus de trois lignes — sont présentées en paragraphe séparé (un interligne au-dessus, un en dessous), en italique, sans guillemets, comme dans l’exemple suivant :</w:t>
      </w:r>
    </w:p>
    <w:p w14:paraId="5A72892C" w14:textId="77777777" w:rsidR="00DF799B" w:rsidRPr="00430FDC" w:rsidRDefault="00000000">
      <w:pPr>
        <w:spacing w:before="120" w:after="260" w:line="276" w:lineRule="auto"/>
        <w:ind w:left="576" w:right="576"/>
        <w:jc w:val="both"/>
        <w:rPr>
          <w:lang w:val="fr-FR"/>
        </w:rPr>
      </w:pPr>
      <w:r w:rsidRPr="00430FDC">
        <w:rPr>
          <w:i/>
          <w:iCs/>
          <w:sz w:val="22"/>
          <w:szCs w:val="22"/>
          <w:lang w:val="fr-FR"/>
        </w:rPr>
        <w:t xml:space="preserve">Ces communautés doivent également résoudre des questions d’ordre technique et pédagogique. Pour créer une salle de classe virtuelle, il convient de prévoir les tâches suivantes : orientation, élaboration du programme, conception des contenus, validation des acquis, mise en œuvre pédagogique, choix du matériel et évaluation. </w:t>
      </w:r>
      <w:r w:rsidRPr="00430FDC">
        <w:rPr>
          <w:sz w:val="22"/>
          <w:szCs w:val="22"/>
          <w:lang w:val="fr-FR"/>
        </w:rPr>
        <w:t>(Harper et al., 2004 : 590)</w:t>
      </w:r>
    </w:p>
    <w:p w14:paraId="77053BD7" w14:textId="77777777" w:rsidR="00DF799B" w:rsidRPr="00430FDC" w:rsidRDefault="00000000">
      <w:pPr>
        <w:spacing w:after="200" w:line="276" w:lineRule="auto"/>
        <w:jc w:val="both"/>
        <w:rPr>
          <w:lang w:val="fr-FR"/>
        </w:rPr>
      </w:pPr>
      <w:r w:rsidRPr="00430FDC">
        <w:rPr>
          <w:sz w:val="22"/>
          <w:szCs w:val="22"/>
          <w:lang w:val="fr-FR"/>
        </w:rPr>
        <w:t>Il est recommandé de limiter le nombre et la longueur des citations : celles-ci ne devraient pas représenter plus de 20 % du corps du texte.</w:t>
      </w:r>
    </w:p>
    <w:p w14:paraId="1ED5A5A9" w14:textId="77777777" w:rsidR="00DF799B" w:rsidRPr="00430FDC" w:rsidRDefault="00000000">
      <w:pPr>
        <w:spacing w:after="200" w:line="276" w:lineRule="auto"/>
        <w:jc w:val="both"/>
        <w:rPr>
          <w:lang w:val="fr-FR"/>
        </w:rPr>
      </w:pPr>
      <w:r w:rsidRPr="00430FDC">
        <w:rPr>
          <w:sz w:val="22"/>
          <w:szCs w:val="22"/>
          <w:lang w:val="fr-FR"/>
        </w:rPr>
        <w:t>Les références dans le texte suivent le style Harvard : nom de l’auteur, année et, le cas échéant, numéro de page — par exemple (Harper et al., 2004 : 590), comme ci-dessus.</w:t>
      </w:r>
    </w:p>
    <w:p w14:paraId="0541164C" w14:textId="77777777" w:rsidR="00DF799B" w:rsidRPr="00430FDC" w:rsidRDefault="00000000">
      <w:pPr>
        <w:spacing w:after="200" w:line="276" w:lineRule="auto"/>
        <w:jc w:val="both"/>
        <w:rPr>
          <w:lang w:val="fr-FR"/>
        </w:rPr>
      </w:pPr>
      <w:r w:rsidRPr="00430FDC">
        <w:rPr>
          <w:sz w:val="22"/>
          <w:szCs w:val="22"/>
          <w:lang w:val="fr-FR"/>
        </w:rPr>
        <w:t xml:space="preserve">Les figures doivent être insérées dans le corps du texte, à proximité de leur première mention, et centrées sur la page. Numéroter les figures de façon consécutive (Figure 1, Figure 2, …) et y renvoyer </w:t>
      </w:r>
      <w:r w:rsidRPr="00430FDC">
        <w:rPr>
          <w:sz w:val="22"/>
          <w:szCs w:val="22"/>
          <w:lang w:val="fr-FR"/>
        </w:rPr>
        <w:lastRenderedPageBreak/>
        <w:t>explicitement dans le texte (par exemple : « comme le montre la Figure 1 »). La légende est placée immédiatement sous la figure, en Times New Roman 10, comme dans l’exemple suivant :</w:t>
      </w:r>
    </w:p>
    <w:p w14:paraId="2D01032E" w14:textId="77777777" w:rsidR="00DF799B" w:rsidRDefault="00000000">
      <w:pPr>
        <w:spacing w:before="120" w:after="80"/>
        <w:jc w:val="center"/>
      </w:pPr>
      <w:r>
        <w:rPr>
          <w:noProof/>
        </w:rPr>
        <w:drawing>
          <wp:inline distT="0" distB="0" distL="0" distR="0" wp14:anchorId="0F053133" wp14:editId="553D3BC8">
            <wp:extent cx="4381500" cy="22764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4381500" cy="2276475"/>
                    </a:xfrm>
                    <a:prstGeom prst="rect">
                      <a:avLst/>
                    </a:prstGeom>
                  </pic:spPr>
                </pic:pic>
              </a:graphicData>
            </a:graphic>
          </wp:inline>
        </w:drawing>
      </w:r>
    </w:p>
    <w:p w14:paraId="1AE3BD93" w14:textId="77777777" w:rsidR="00DF799B" w:rsidRPr="00430FDC" w:rsidRDefault="00000000">
      <w:pPr>
        <w:spacing w:after="80"/>
        <w:jc w:val="center"/>
        <w:rPr>
          <w:lang w:val="fr-FR"/>
        </w:rPr>
      </w:pPr>
      <w:r w:rsidRPr="00430FDC">
        <w:rPr>
          <w:b/>
          <w:bCs/>
          <w:lang w:val="fr-FR"/>
        </w:rPr>
        <w:t xml:space="preserve">Figure 1. </w:t>
      </w:r>
      <w:r w:rsidRPr="00430FDC">
        <w:rPr>
          <w:lang w:val="fr-FR"/>
        </w:rPr>
        <w:t xml:space="preserve">Fréquence des marqueurs d’atténuation pour 1 000 mots, locuteurs natifs vs. </w:t>
      </w:r>
      <w:proofErr w:type="gramStart"/>
      <w:r w:rsidRPr="00430FDC">
        <w:rPr>
          <w:lang w:val="fr-FR"/>
        </w:rPr>
        <w:t>apprenants</w:t>
      </w:r>
      <w:proofErr w:type="gramEnd"/>
      <w:r w:rsidRPr="00430FDC">
        <w:rPr>
          <w:lang w:val="fr-FR"/>
        </w:rPr>
        <w:t xml:space="preserve"> L2.</w:t>
      </w:r>
    </w:p>
    <w:p w14:paraId="2DEC7D48" w14:textId="77777777" w:rsidR="00DF799B" w:rsidRPr="00430FDC" w:rsidRDefault="00000000">
      <w:pPr>
        <w:spacing w:after="260"/>
        <w:jc w:val="center"/>
        <w:rPr>
          <w:lang w:val="fr-FR"/>
        </w:rPr>
      </w:pPr>
      <w:r w:rsidRPr="00430FDC">
        <w:rPr>
          <w:i/>
          <w:iCs/>
          <w:lang w:val="fr-FR"/>
        </w:rPr>
        <w:t>Source : corpus personnel.</w:t>
      </w:r>
    </w:p>
    <w:p w14:paraId="648EF491" w14:textId="753F8F53" w:rsidR="00DF799B" w:rsidRPr="00430FDC" w:rsidRDefault="00000000">
      <w:pPr>
        <w:spacing w:after="200" w:line="276" w:lineRule="auto"/>
        <w:jc w:val="both"/>
        <w:rPr>
          <w:lang w:val="fr-FR"/>
        </w:rPr>
      </w:pPr>
      <w:r w:rsidRPr="00430FDC">
        <w:rPr>
          <w:sz w:val="22"/>
          <w:szCs w:val="22"/>
          <w:lang w:val="fr-FR"/>
        </w:rPr>
        <w:t xml:space="preserve">Les images doivent être fournies à une résolution minimale de 300 dpi, au format JPEG, PNG ou TIFF, dimensionnées pour tenir dans la largeur du texte. Les figures reproduites ou adaptées d’une autre publication doivent comporter une mention de source sous la légende (par exemple : « Source : adapté de </w:t>
      </w:r>
      <w:r w:rsidR="00430FDC">
        <w:rPr>
          <w:sz w:val="22"/>
          <w:szCs w:val="22"/>
          <w:lang w:val="fr-FR"/>
        </w:rPr>
        <w:t>Nom de l’a</w:t>
      </w:r>
      <w:r w:rsidR="00430FDC" w:rsidRPr="00430FDC">
        <w:rPr>
          <w:sz w:val="22"/>
          <w:szCs w:val="22"/>
          <w:lang w:val="fr-FR"/>
        </w:rPr>
        <w:t>uteur</w:t>
      </w:r>
      <w:r w:rsidRPr="00430FDC">
        <w:rPr>
          <w:sz w:val="22"/>
          <w:szCs w:val="22"/>
          <w:lang w:val="fr-FR"/>
        </w:rPr>
        <w:t xml:space="preserve">, année »), l’auteur demeurant responsable de l’obtention des droits </w:t>
      </w:r>
      <w:r w:rsidR="00430FDC" w:rsidRPr="00430FDC">
        <w:rPr>
          <w:sz w:val="22"/>
          <w:szCs w:val="22"/>
          <w:lang w:val="fr-FR"/>
        </w:rPr>
        <w:t>d'utilisation</w:t>
      </w:r>
      <w:r w:rsidR="00430FDC">
        <w:rPr>
          <w:sz w:val="22"/>
          <w:szCs w:val="22"/>
          <w:lang w:val="fr-FR"/>
        </w:rPr>
        <w:t xml:space="preserve"> </w:t>
      </w:r>
      <w:r w:rsidRPr="00430FDC">
        <w:rPr>
          <w:sz w:val="22"/>
          <w:szCs w:val="22"/>
          <w:lang w:val="fr-FR"/>
        </w:rPr>
        <w:t>nécessaires.</w:t>
      </w:r>
    </w:p>
    <w:p w14:paraId="5B494E78" w14:textId="77777777" w:rsidR="00DF799B" w:rsidRPr="00430FDC" w:rsidRDefault="00000000">
      <w:pPr>
        <w:spacing w:after="200" w:line="276" w:lineRule="auto"/>
        <w:jc w:val="both"/>
        <w:rPr>
          <w:lang w:val="fr-FR"/>
        </w:rPr>
      </w:pPr>
      <w:r w:rsidRPr="00430FDC">
        <w:rPr>
          <w:sz w:val="22"/>
          <w:szCs w:val="22"/>
          <w:lang w:val="fr-FR"/>
        </w:rPr>
        <w:t>Les tableaux suivent la même logique de numérotation que les figures, mais leur légende est placée au-dessus du tableau, alignée à gauche, en Times New Roman 10, comme dans l’exemple suivant :</w:t>
      </w:r>
    </w:p>
    <w:p w14:paraId="26542BBC" w14:textId="77777777" w:rsidR="00DF799B" w:rsidRPr="00430FDC" w:rsidRDefault="00000000">
      <w:pPr>
        <w:spacing w:before="120" w:after="100"/>
        <w:rPr>
          <w:lang w:val="fr-FR"/>
        </w:rPr>
      </w:pPr>
      <w:r w:rsidRPr="00430FDC">
        <w:rPr>
          <w:b/>
          <w:bCs/>
          <w:lang w:val="fr-FR"/>
        </w:rPr>
        <w:t xml:space="preserve">Tableau 1. </w:t>
      </w:r>
      <w:r w:rsidRPr="00430FDC">
        <w:rPr>
          <w:lang w:val="fr-FR"/>
        </w:rPr>
        <w:t>Fréquence des stratégies de traduction relevées dans le corpus (N = 150 segments).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416"/>
        <w:gridCol w:w="1805"/>
        <w:gridCol w:w="1805"/>
      </w:tblGrid>
      <w:tr w:rsidR="00DF799B" w14:paraId="7068CACB" w14:textId="77777777">
        <w:tc>
          <w:tcPr>
            <w:tcW w:w="3000" w:type="pct"/>
            <w:tcBorders>
              <w:top w:val="single" w:sz="4" w:space="0" w:color="000000"/>
              <w:left w:val="none" w:sz="0" w:space="0" w:color="FFFFFF"/>
              <w:bottom w:val="single" w:sz="4" w:space="0" w:color="000000"/>
              <w:right w:val="none" w:sz="0" w:space="0" w:color="FFFFFF"/>
            </w:tcBorders>
            <w:tcMar>
              <w:top w:w="60" w:type="dxa"/>
              <w:left w:w="80" w:type="dxa"/>
              <w:bottom w:w="60" w:type="dxa"/>
              <w:right w:w="80" w:type="dxa"/>
            </w:tcMar>
            <w:vAlign w:val="center"/>
          </w:tcPr>
          <w:p w14:paraId="061E927C" w14:textId="77777777" w:rsidR="00DF799B" w:rsidRDefault="00000000">
            <w:proofErr w:type="spellStart"/>
            <w:r>
              <w:rPr>
                <w:b/>
                <w:bCs/>
              </w:rPr>
              <w:t>Stratégie</w:t>
            </w:r>
            <w:proofErr w:type="spellEnd"/>
          </w:p>
        </w:tc>
        <w:tc>
          <w:tcPr>
            <w:tcW w:w="1000" w:type="pct"/>
            <w:tcBorders>
              <w:top w:val="single" w:sz="4" w:space="0" w:color="000000"/>
              <w:left w:val="none" w:sz="0" w:space="0" w:color="FFFFFF"/>
              <w:bottom w:val="single" w:sz="4" w:space="0" w:color="000000"/>
              <w:right w:val="none" w:sz="0" w:space="0" w:color="FFFFFF"/>
            </w:tcBorders>
            <w:tcMar>
              <w:top w:w="60" w:type="dxa"/>
              <w:left w:w="80" w:type="dxa"/>
              <w:bottom w:w="60" w:type="dxa"/>
              <w:right w:w="80" w:type="dxa"/>
            </w:tcMar>
            <w:vAlign w:val="center"/>
          </w:tcPr>
          <w:p w14:paraId="5DE64196" w14:textId="77777777" w:rsidR="00DF799B" w:rsidRDefault="00000000">
            <w:pPr>
              <w:jc w:val="center"/>
            </w:pPr>
            <w:r>
              <w:rPr>
                <w:b/>
                <w:bCs/>
              </w:rPr>
              <w:t>n</w:t>
            </w:r>
          </w:p>
        </w:tc>
        <w:tc>
          <w:tcPr>
            <w:tcW w:w="1000" w:type="pct"/>
            <w:tcBorders>
              <w:top w:val="single" w:sz="4" w:space="0" w:color="000000"/>
              <w:left w:val="none" w:sz="0" w:space="0" w:color="FFFFFF"/>
              <w:bottom w:val="single" w:sz="4" w:space="0" w:color="000000"/>
              <w:right w:val="none" w:sz="0" w:space="0" w:color="FFFFFF"/>
            </w:tcBorders>
            <w:tcMar>
              <w:top w:w="60" w:type="dxa"/>
              <w:left w:w="80" w:type="dxa"/>
              <w:bottom w:w="60" w:type="dxa"/>
              <w:right w:w="80" w:type="dxa"/>
            </w:tcMar>
            <w:vAlign w:val="center"/>
          </w:tcPr>
          <w:p w14:paraId="656F0D94" w14:textId="77777777" w:rsidR="00DF799B" w:rsidRDefault="00000000">
            <w:pPr>
              <w:jc w:val="center"/>
            </w:pPr>
            <w:r>
              <w:rPr>
                <w:b/>
                <w:bCs/>
              </w:rPr>
              <w:t>%</w:t>
            </w:r>
          </w:p>
        </w:tc>
      </w:tr>
      <w:tr w:rsidR="00DF799B" w14:paraId="563A0813" w14:textId="77777777">
        <w:tc>
          <w:tcPr>
            <w:tcW w:w="3000" w:type="pct"/>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vAlign w:val="center"/>
          </w:tcPr>
          <w:p w14:paraId="7F38BA63" w14:textId="77777777" w:rsidR="00DF799B" w:rsidRDefault="00000000">
            <w:proofErr w:type="spellStart"/>
            <w:r>
              <w:t>Traduction</w:t>
            </w:r>
            <w:proofErr w:type="spellEnd"/>
            <w:r>
              <w:t xml:space="preserve"> </w:t>
            </w:r>
            <w:proofErr w:type="spellStart"/>
            <w:r>
              <w:t>littérale</w:t>
            </w:r>
            <w:proofErr w:type="spellEnd"/>
          </w:p>
        </w:tc>
        <w:tc>
          <w:tcPr>
            <w:tcW w:w="1000" w:type="pct"/>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vAlign w:val="center"/>
          </w:tcPr>
          <w:p w14:paraId="3E5376DB" w14:textId="77777777" w:rsidR="00DF799B" w:rsidRDefault="00000000">
            <w:pPr>
              <w:jc w:val="center"/>
            </w:pPr>
            <w:r>
              <w:t>62</w:t>
            </w:r>
          </w:p>
        </w:tc>
        <w:tc>
          <w:tcPr>
            <w:tcW w:w="1000" w:type="pct"/>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vAlign w:val="center"/>
          </w:tcPr>
          <w:p w14:paraId="23037206" w14:textId="77777777" w:rsidR="00DF799B" w:rsidRDefault="00000000">
            <w:pPr>
              <w:jc w:val="center"/>
            </w:pPr>
            <w:r>
              <w:t>41,3</w:t>
            </w:r>
          </w:p>
        </w:tc>
      </w:tr>
      <w:tr w:rsidR="00DF799B" w14:paraId="6D3B859F" w14:textId="77777777">
        <w:tc>
          <w:tcPr>
            <w:tcW w:w="3000" w:type="pct"/>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vAlign w:val="center"/>
          </w:tcPr>
          <w:p w14:paraId="0B54AE14" w14:textId="77777777" w:rsidR="00DF799B" w:rsidRDefault="00000000">
            <w:r>
              <w:t>Modulation</w:t>
            </w:r>
          </w:p>
        </w:tc>
        <w:tc>
          <w:tcPr>
            <w:tcW w:w="1000" w:type="pct"/>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vAlign w:val="center"/>
          </w:tcPr>
          <w:p w14:paraId="4AA6DB54" w14:textId="77777777" w:rsidR="00DF799B" w:rsidRDefault="00000000">
            <w:pPr>
              <w:jc w:val="center"/>
            </w:pPr>
            <w:r>
              <w:t>38</w:t>
            </w:r>
          </w:p>
        </w:tc>
        <w:tc>
          <w:tcPr>
            <w:tcW w:w="1000" w:type="pct"/>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vAlign w:val="center"/>
          </w:tcPr>
          <w:p w14:paraId="7E3909D7" w14:textId="77777777" w:rsidR="00DF799B" w:rsidRDefault="00000000">
            <w:pPr>
              <w:jc w:val="center"/>
            </w:pPr>
            <w:r>
              <w:t>25,3</w:t>
            </w:r>
          </w:p>
        </w:tc>
      </w:tr>
      <w:tr w:rsidR="00DF799B" w14:paraId="4B4CD173" w14:textId="77777777">
        <w:tc>
          <w:tcPr>
            <w:tcW w:w="3000" w:type="pct"/>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vAlign w:val="center"/>
          </w:tcPr>
          <w:p w14:paraId="1F82232B" w14:textId="77777777" w:rsidR="00DF799B" w:rsidRDefault="00000000">
            <w:proofErr w:type="spellStart"/>
            <w:r>
              <w:t>Équivalence</w:t>
            </w:r>
            <w:proofErr w:type="spellEnd"/>
          </w:p>
        </w:tc>
        <w:tc>
          <w:tcPr>
            <w:tcW w:w="1000" w:type="pct"/>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vAlign w:val="center"/>
          </w:tcPr>
          <w:p w14:paraId="5E8BEC94" w14:textId="77777777" w:rsidR="00DF799B" w:rsidRDefault="00000000">
            <w:pPr>
              <w:jc w:val="center"/>
            </w:pPr>
            <w:r>
              <w:t>27</w:t>
            </w:r>
          </w:p>
        </w:tc>
        <w:tc>
          <w:tcPr>
            <w:tcW w:w="1000" w:type="pct"/>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vAlign w:val="center"/>
          </w:tcPr>
          <w:p w14:paraId="38FFE04E" w14:textId="77777777" w:rsidR="00DF799B" w:rsidRDefault="00000000">
            <w:pPr>
              <w:jc w:val="center"/>
            </w:pPr>
            <w:r>
              <w:t>18,0</w:t>
            </w:r>
          </w:p>
        </w:tc>
      </w:tr>
      <w:tr w:rsidR="00DF799B" w14:paraId="1521F8AC" w14:textId="77777777">
        <w:tc>
          <w:tcPr>
            <w:tcW w:w="3000" w:type="pct"/>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vAlign w:val="center"/>
          </w:tcPr>
          <w:p w14:paraId="5D0BFCB2" w14:textId="77777777" w:rsidR="00DF799B" w:rsidRDefault="00000000">
            <w:r>
              <w:t>Omission</w:t>
            </w:r>
          </w:p>
        </w:tc>
        <w:tc>
          <w:tcPr>
            <w:tcW w:w="1000" w:type="pct"/>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vAlign w:val="center"/>
          </w:tcPr>
          <w:p w14:paraId="2FEA234A" w14:textId="77777777" w:rsidR="00DF799B" w:rsidRDefault="00000000">
            <w:pPr>
              <w:jc w:val="center"/>
            </w:pPr>
            <w:r>
              <w:t>14</w:t>
            </w:r>
          </w:p>
        </w:tc>
        <w:tc>
          <w:tcPr>
            <w:tcW w:w="1000" w:type="pct"/>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vAlign w:val="center"/>
          </w:tcPr>
          <w:p w14:paraId="44589391" w14:textId="77777777" w:rsidR="00DF799B" w:rsidRDefault="00000000">
            <w:pPr>
              <w:jc w:val="center"/>
            </w:pPr>
            <w:r>
              <w:t>9,3</w:t>
            </w:r>
          </w:p>
        </w:tc>
      </w:tr>
      <w:tr w:rsidR="00DF799B" w14:paraId="23E4C972" w14:textId="77777777">
        <w:tc>
          <w:tcPr>
            <w:tcW w:w="3000" w:type="pct"/>
            <w:tcBorders>
              <w:top w:val="none" w:sz="0" w:space="0" w:color="FFFFFF"/>
              <w:left w:val="none" w:sz="0" w:space="0" w:color="FFFFFF"/>
              <w:bottom w:val="single" w:sz="4" w:space="0" w:color="000000"/>
              <w:right w:val="none" w:sz="0" w:space="0" w:color="FFFFFF"/>
            </w:tcBorders>
            <w:tcMar>
              <w:top w:w="60" w:type="dxa"/>
              <w:left w:w="80" w:type="dxa"/>
              <w:bottom w:w="60" w:type="dxa"/>
              <w:right w:w="80" w:type="dxa"/>
            </w:tcMar>
            <w:vAlign w:val="center"/>
          </w:tcPr>
          <w:p w14:paraId="534D8D8A" w14:textId="77777777" w:rsidR="00DF799B" w:rsidRDefault="00000000">
            <w:proofErr w:type="spellStart"/>
            <w:r>
              <w:t>Ajout</w:t>
            </w:r>
            <w:proofErr w:type="spellEnd"/>
          </w:p>
        </w:tc>
        <w:tc>
          <w:tcPr>
            <w:tcW w:w="1000" w:type="pct"/>
            <w:tcBorders>
              <w:top w:val="none" w:sz="0" w:space="0" w:color="FFFFFF"/>
              <w:left w:val="none" w:sz="0" w:space="0" w:color="FFFFFF"/>
              <w:bottom w:val="single" w:sz="4" w:space="0" w:color="000000"/>
              <w:right w:val="none" w:sz="0" w:space="0" w:color="FFFFFF"/>
            </w:tcBorders>
            <w:tcMar>
              <w:top w:w="60" w:type="dxa"/>
              <w:left w:w="80" w:type="dxa"/>
              <w:bottom w:w="60" w:type="dxa"/>
              <w:right w:w="80" w:type="dxa"/>
            </w:tcMar>
            <w:vAlign w:val="center"/>
          </w:tcPr>
          <w:p w14:paraId="613BC3AB" w14:textId="77777777" w:rsidR="00DF799B" w:rsidRDefault="00000000">
            <w:pPr>
              <w:jc w:val="center"/>
            </w:pPr>
            <w:r>
              <w:t>9</w:t>
            </w:r>
          </w:p>
        </w:tc>
        <w:tc>
          <w:tcPr>
            <w:tcW w:w="1000" w:type="pct"/>
            <w:tcBorders>
              <w:top w:val="none" w:sz="0" w:space="0" w:color="FFFFFF"/>
              <w:left w:val="none" w:sz="0" w:space="0" w:color="FFFFFF"/>
              <w:bottom w:val="single" w:sz="4" w:space="0" w:color="000000"/>
              <w:right w:val="none" w:sz="0" w:space="0" w:color="FFFFFF"/>
            </w:tcBorders>
            <w:tcMar>
              <w:top w:w="60" w:type="dxa"/>
              <w:left w:w="80" w:type="dxa"/>
              <w:bottom w:w="60" w:type="dxa"/>
              <w:right w:w="80" w:type="dxa"/>
            </w:tcMar>
            <w:vAlign w:val="center"/>
          </w:tcPr>
          <w:p w14:paraId="4CCE5D79" w14:textId="77777777" w:rsidR="00DF799B" w:rsidRDefault="00000000">
            <w:pPr>
              <w:jc w:val="center"/>
            </w:pPr>
            <w:r>
              <w:t>6,0</w:t>
            </w:r>
          </w:p>
        </w:tc>
      </w:tr>
    </w:tbl>
    <w:p w14:paraId="1B10CFC4" w14:textId="77777777" w:rsidR="00DF799B" w:rsidRPr="00430FDC" w:rsidRDefault="00000000">
      <w:pPr>
        <w:spacing w:before="200" w:after="200"/>
        <w:rPr>
          <w:lang w:val="fr-FR"/>
        </w:rPr>
      </w:pPr>
      <w:r w:rsidRPr="00430FDC">
        <w:rPr>
          <w:i/>
          <w:iCs/>
          <w:lang w:val="fr-FR"/>
        </w:rPr>
        <w:t xml:space="preserve">Note. </w:t>
      </w:r>
      <w:r w:rsidRPr="00430FDC">
        <w:rPr>
          <w:lang w:val="fr-FR"/>
        </w:rPr>
        <w:t xml:space="preserve">Catégories établies d’après la taxinomie des procédés de traduction de Vinay et </w:t>
      </w:r>
      <w:proofErr w:type="spellStart"/>
      <w:r w:rsidRPr="00430FDC">
        <w:rPr>
          <w:lang w:val="fr-FR"/>
        </w:rPr>
        <w:t>Darbelnet</w:t>
      </w:r>
      <w:proofErr w:type="spellEnd"/>
      <w:r w:rsidRPr="00430FDC">
        <w:rPr>
          <w:lang w:val="fr-FR"/>
        </w:rPr>
        <w:t xml:space="preserve"> (1958). N = nombre total de segments traduits analysés.</w:t>
      </w:r>
    </w:p>
    <w:p w14:paraId="6EFF5244" w14:textId="602AA71F" w:rsidR="00DF799B" w:rsidRPr="00430FDC" w:rsidRDefault="00000000">
      <w:pPr>
        <w:spacing w:after="200" w:line="276" w:lineRule="auto"/>
        <w:jc w:val="both"/>
        <w:rPr>
          <w:lang w:val="fr-FR"/>
        </w:rPr>
      </w:pPr>
      <w:r w:rsidRPr="00430FDC">
        <w:rPr>
          <w:sz w:val="22"/>
          <w:szCs w:val="22"/>
          <w:lang w:val="fr-FR"/>
        </w:rPr>
        <w:t xml:space="preserve">Les tableaux doivent être créés à l’aide de l’outil Tableau de Word plutôt qu’insérés comme des images, et ne doivent pas dépasser la largeur de la colonne de texte. </w:t>
      </w:r>
    </w:p>
    <w:p w14:paraId="5403E028" w14:textId="77777777" w:rsidR="00DF799B" w:rsidRPr="00006F8D" w:rsidRDefault="00000000">
      <w:pPr>
        <w:spacing w:before="240" w:after="120"/>
        <w:rPr>
          <w:sz w:val="22"/>
          <w:szCs w:val="22"/>
          <w:lang w:val="fr-FR"/>
        </w:rPr>
      </w:pPr>
      <w:r w:rsidRPr="00006F8D">
        <w:rPr>
          <w:b/>
          <w:bCs/>
          <w:i/>
          <w:iCs/>
          <w:sz w:val="22"/>
          <w:szCs w:val="22"/>
          <w:lang w:val="fr-FR"/>
        </w:rPr>
        <w:t>1.1 [Titre de sous-section]</w:t>
      </w:r>
    </w:p>
    <w:p w14:paraId="33BB3646" w14:textId="77777777" w:rsidR="00DF799B" w:rsidRPr="00006F8D" w:rsidRDefault="00000000">
      <w:pPr>
        <w:spacing w:before="240" w:after="120"/>
        <w:rPr>
          <w:sz w:val="22"/>
          <w:szCs w:val="22"/>
          <w:lang w:val="fr-FR"/>
        </w:rPr>
      </w:pPr>
      <w:r w:rsidRPr="00006F8D">
        <w:rPr>
          <w:b/>
          <w:bCs/>
          <w:i/>
          <w:iCs/>
          <w:sz w:val="22"/>
          <w:szCs w:val="22"/>
          <w:lang w:val="fr-FR"/>
        </w:rPr>
        <w:t>1.2 [Titre de sous-section]</w:t>
      </w:r>
    </w:p>
    <w:p w14:paraId="301DE9CE" w14:textId="77777777" w:rsidR="00DF799B" w:rsidRPr="00006F8D" w:rsidRDefault="00000000">
      <w:pPr>
        <w:spacing w:before="360" w:after="180"/>
        <w:rPr>
          <w:sz w:val="24"/>
          <w:szCs w:val="24"/>
          <w:lang w:val="fr-FR"/>
        </w:rPr>
      </w:pPr>
      <w:r w:rsidRPr="00006F8D">
        <w:rPr>
          <w:b/>
          <w:bCs/>
          <w:sz w:val="24"/>
          <w:szCs w:val="24"/>
          <w:lang w:val="fr-FR"/>
        </w:rPr>
        <w:t>2. [Titre de section]</w:t>
      </w:r>
    </w:p>
    <w:p w14:paraId="069F5D87" w14:textId="77777777" w:rsidR="00DF799B" w:rsidRPr="00006F8D" w:rsidRDefault="00000000">
      <w:pPr>
        <w:spacing w:before="360" w:after="180"/>
        <w:rPr>
          <w:sz w:val="24"/>
          <w:szCs w:val="24"/>
          <w:lang w:val="fr-FR"/>
        </w:rPr>
      </w:pPr>
      <w:r w:rsidRPr="00006F8D">
        <w:rPr>
          <w:b/>
          <w:bCs/>
          <w:sz w:val="24"/>
          <w:szCs w:val="24"/>
          <w:lang w:val="fr-FR"/>
        </w:rPr>
        <w:t>3. Conclusion</w:t>
      </w:r>
    </w:p>
    <w:p w14:paraId="2AD3C7C8" w14:textId="77777777" w:rsidR="00DF799B" w:rsidRPr="00006F8D" w:rsidRDefault="00000000">
      <w:pPr>
        <w:spacing w:before="360" w:after="180"/>
        <w:rPr>
          <w:sz w:val="24"/>
          <w:szCs w:val="24"/>
          <w:lang w:val="fr-FR"/>
        </w:rPr>
      </w:pPr>
      <w:r w:rsidRPr="00006F8D">
        <w:rPr>
          <w:b/>
          <w:bCs/>
          <w:sz w:val="24"/>
          <w:szCs w:val="24"/>
          <w:lang w:val="fr-FR"/>
        </w:rPr>
        <w:lastRenderedPageBreak/>
        <w:t>Références bibliographiques</w:t>
      </w:r>
    </w:p>
    <w:p w14:paraId="19A3FEED" w14:textId="77777777" w:rsidR="00DF799B" w:rsidRDefault="00000000" w:rsidP="00430FDC">
      <w:pPr>
        <w:ind w:left="431" w:hanging="431"/>
        <w:jc w:val="both"/>
      </w:pPr>
      <w:r>
        <w:rPr>
          <w:b/>
          <w:bCs/>
          <w:sz w:val="22"/>
          <w:szCs w:val="22"/>
        </w:rPr>
        <w:t>BEKLAVÝ, Miroslav, Anna-Elisabeth THUM et Galina POTJAGAILO</w:t>
      </w:r>
      <w:r>
        <w:rPr>
          <w:sz w:val="22"/>
          <w:szCs w:val="22"/>
        </w:rPr>
        <w:t xml:space="preserve"> (2013), </w:t>
      </w:r>
      <w:r>
        <w:rPr>
          <w:i/>
          <w:iCs/>
          <w:sz w:val="22"/>
          <w:szCs w:val="22"/>
        </w:rPr>
        <w:t>When Do Adults Learn? A Cohort Analysis of Adult Education in Europe</w:t>
      </w:r>
      <w:r>
        <w:rPr>
          <w:sz w:val="22"/>
          <w:szCs w:val="22"/>
        </w:rPr>
        <w:t xml:space="preserve"> (CEPS Working Document n° 383), Centre for European Policy Studies. </w:t>
      </w:r>
      <w:hyperlink r:id="rId8" w:history="1">
        <w:r w:rsidR="00DF799B">
          <w:rPr>
            <w:rStyle w:val="Hyperlink"/>
            <w:sz w:val="22"/>
            <w:szCs w:val="22"/>
          </w:rPr>
          <w:t>https://www.ceps.eu/system/files/WD%20383%20When%20do%20adults%20learn%20_NEUJOBS.pdf</w:t>
        </w:r>
      </w:hyperlink>
    </w:p>
    <w:p w14:paraId="43779793" w14:textId="77777777" w:rsidR="00DF799B" w:rsidRDefault="00000000" w:rsidP="00430FDC">
      <w:pPr>
        <w:ind w:left="431" w:hanging="431"/>
        <w:jc w:val="both"/>
      </w:pPr>
      <w:r>
        <w:rPr>
          <w:b/>
          <w:bCs/>
          <w:sz w:val="22"/>
          <w:szCs w:val="22"/>
        </w:rPr>
        <w:t>BROWN, Penelope et Stephen LEVINSON</w:t>
      </w:r>
      <w:r>
        <w:rPr>
          <w:sz w:val="22"/>
          <w:szCs w:val="22"/>
        </w:rPr>
        <w:t xml:space="preserve"> (1987), </w:t>
      </w:r>
      <w:r>
        <w:rPr>
          <w:i/>
          <w:iCs/>
          <w:sz w:val="22"/>
          <w:szCs w:val="22"/>
        </w:rPr>
        <w:t>Politeness: Some Universals in Language Usage</w:t>
      </w:r>
      <w:r>
        <w:rPr>
          <w:sz w:val="22"/>
          <w:szCs w:val="22"/>
        </w:rPr>
        <w:t>, Cambridge University Press, Cambridge.</w:t>
      </w:r>
    </w:p>
    <w:p w14:paraId="5DFEB532" w14:textId="77777777" w:rsidR="00DF799B" w:rsidRDefault="00000000" w:rsidP="00430FDC">
      <w:pPr>
        <w:ind w:left="431" w:hanging="431"/>
        <w:jc w:val="both"/>
      </w:pPr>
      <w:r>
        <w:rPr>
          <w:b/>
          <w:bCs/>
          <w:sz w:val="22"/>
          <w:szCs w:val="22"/>
        </w:rPr>
        <w:t>DARLEY, William et Denise LUETHGE</w:t>
      </w:r>
      <w:r>
        <w:rPr>
          <w:sz w:val="22"/>
          <w:szCs w:val="22"/>
        </w:rPr>
        <w:t xml:space="preserve"> (2003), « Cross-Cultural Communication and Promotion », in R. RUGINBANA et S. NWANKWO (dir.), </w:t>
      </w:r>
      <w:r>
        <w:rPr>
          <w:i/>
          <w:iCs/>
          <w:sz w:val="22"/>
          <w:szCs w:val="22"/>
        </w:rPr>
        <w:t>Cross-Cultural Marketing</w:t>
      </w:r>
      <w:r>
        <w:rPr>
          <w:sz w:val="22"/>
          <w:szCs w:val="22"/>
        </w:rPr>
        <w:t xml:space="preserve">, Thomson Learning, </w:t>
      </w:r>
      <w:proofErr w:type="spellStart"/>
      <w:r>
        <w:rPr>
          <w:sz w:val="22"/>
          <w:szCs w:val="22"/>
        </w:rPr>
        <w:t>Londres</w:t>
      </w:r>
      <w:proofErr w:type="spellEnd"/>
      <w:r>
        <w:rPr>
          <w:sz w:val="22"/>
          <w:szCs w:val="22"/>
        </w:rPr>
        <w:t>, p. 141-159.</w:t>
      </w:r>
    </w:p>
    <w:p w14:paraId="0F7A345B" w14:textId="77777777" w:rsidR="00DF799B" w:rsidRDefault="00000000" w:rsidP="00430FDC">
      <w:pPr>
        <w:ind w:left="431" w:hanging="431"/>
        <w:jc w:val="both"/>
      </w:pPr>
      <w:r>
        <w:rPr>
          <w:b/>
          <w:bCs/>
          <w:sz w:val="22"/>
          <w:szCs w:val="22"/>
        </w:rPr>
        <w:t>HOFSTEDE, Geert</w:t>
      </w:r>
      <w:r>
        <w:rPr>
          <w:sz w:val="22"/>
          <w:szCs w:val="22"/>
        </w:rPr>
        <w:t xml:space="preserve"> (1983), « National Cultures in Four Dimensions: A Research-Based Theory of Cultural Differences among Nations », in </w:t>
      </w:r>
      <w:r>
        <w:rPr>
          <w:i/>
          <w:iCs/>
          <w:sz w:val="22"/>
          <w:szCs w:val="22"/>
        </w:rPr>
        <w:t>International Studies of Management and Organization</w:t>
      </w:r>
      <w:r>
        <w:rPr>
          <w:sz w:val="22"/>
          <w:szCs w:val="22"/>
        </w:rPr>
        <w:t>, 13 (1-2), p. 46-74.</w:t>
      </w:r>
    </w:p>
    <w:p w14:paraId="5E373DD4" w14:textId="77777777" w:rsidR="00DF799B" w:rsidRPr="00430FDC" w:rsidRDefault="00000000" w:rsidP="00430FDC">
      <w:pPr>
        <w:ind w:left="431" w:hanging="431"/>
        <w:jc w:val="both"/>
        <w:rPr>
          <w:lang w:val="fr-FR"/>
        </w:rPr>
      </w:pPr>
      <w:r w:rsidRPr="00430FDC">
        <w:rPr>
          <w:b/>
          <w:bCs/>
          <w:sz w:val="22"/>
          <w:szCs w:val="22"/>
          <w:lang w:val="fr-FR"/>
        </w:rPr>
        <w:t>VINAY, Jean-Paul et Jean DARBELNET</w:t>
      </w:r>
      <w:r w:rsidRPr="00430FDC">
        <w:rPr>
          <w:sz w:val="22"/>
          <w:szCs w:val="22"/>
          <w:lang w:val="fr-FR"/>
        </w:rPr>
        <w:t xml:space="preserve"> (1958), </w:t>
      </w:r>
      <w:r w:rsidRPr="00430FDC">
        <w:rPr>
          <w:i/>
          <w:iCs/>
          <w:sz w:val="22"/>
          <w:szCs w:val="22"/>
          <w:lang w:val="fr-FR"/>
        </w:rPr>
        <w:t>Stylistique comparée du français et de l’anglais : méthode de traduction</w:t>
      </w:r>
      <w:r w:rsidRPr="00430FDC">
        <w:rPr>
          <w:sz w:val="22"/>
          <w:szCs w:val="22"/>
          <w:lang w:val="fr-FR"/>
        </w:rPr>
        <w:t>, Didier, Paris.</w:t>
      </w:r>
    </w:p>
    <w:p w14:paraId="084BE5C1" w14:textId="77777777" w:rsidR="00DF799B" w:rsidRPr="00430FDC" w:rsidRDefault="00000000">
      <w:pPr>
        <w:spacing w:before="360" w:after="180"/>
        <w:rPr>
          <w:lang w:val="fr-FR"/>
        </w:rPr>
      </w:pPr>
      <w:r w:rsidRPr="00430FDC">
        <w:rPr>
          <w:b/>
          <w:bCs/>
          <w:sz w:val="26"/>
          <w:szCs w:val="26"/>
          <w:lang w:val="fr-FR"/>
        </w:rPr>
        <w:t>Notice biographique</w:t>
      </w:r>
    </w:p>
    <w:p w14:paraId="62B9DAA1" w14:textId="77777777" w:rsidR="00DF799B" w:rsidRPr="00430FDC" w:rsidRDefault="00000000">
      <w:pPr>
        <w:spacing w:after="200" w:line="276" w:lineRule="auto"/>
        <w:jc w:val="both"/>
        <w:rPr>
          <w:lang w:val="fr-FR"/>
        </w:rPr>
      </w:pPr>
      <w:r w:rsidRPr="00430FDC">
        <w:rPr>
          <w:b/>
          <w:bCs/>
          <w:lang w:val="fr-FR"/>
        </w:rPr>
        <w:t xml:space="preserve">Prénom NOM. </w:t>
      </w:r>
      <w:r w:rsidRPr="00430FDC">
        <w:rPr>
          <w:lang w:val="fr-FR"/>
        </w:rPr>
        <w:t>L’article doit être accompagné d’une brève notice biographique, rédigée en Times New Roman, 10, justifié.</w:t>
      </w:r>
    </w:p>
    <w:sectPr w:rsidR="00DF799B" w:rsidRPr="00430FDC">
      <w:headerReference w:type="default" r:id="rId9"/>
      <w:footerReference w:type="default" r:id="rId10"/>
      <w:pgSz w:w="11906" w:h="16838"/>
      <w:pgMar w:top="1440" w:right="1440" w:bottom="1440" w:left="1440"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74B6EA" w14:textId="77777777" w:rsidR="009B0DAF" w:rsidRDefault="009B0DAF">
      <w:r>
        <w:separator/>
      </w:r>
    </w:p>
  </w:endnote>
  <w:endnote w:type="continuationSeparator" w:id="0">
    <w:p w14:paraId="5D466800" w14:textId="77777777" w:rsidR="009B0DAF" w:rsidRDefault="009B0D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D96E7" w14:textId="77777777" w:rsidR="00DF799B" w:rsidRDefault="00000000">
    <w:pPr>
      <w:jc w:val="center"/>
    </w:pPr>
    <w:r>
      <w:rPr>
        <w:color w:val="595959"/>
        <w:sz w:val="18"/>
        <w:szCs w:val="18"/>
      </w:rPr>
      <w:fldChar w:fldCharType="begin"/>
    </w:r>
    <w:r>
      <w:rPr>
        <w:color w:val="595959"/>
        <w:sz w:val="18"/>
        <w:szCs w:val="18"/>
      </w:rPr>
      <w:instrText>PAGE</w:instrText>
    </w:r>
    <w:r>
      <w:rPr>
        <w:color w:val="595959"/>
        <w:sz w:val="18"/>
        <w:szCs w:val="18"/>
      </w:rPr>
      <w:fldChar w:fldCharType="separate"/>
    </w:r>
    <w:r w:rsidR="00430FDC">
      <w:rPr>
        <w:noProof/>
        <w:color w:val="595959"/>
        <w:sz w:val="18"/>
        <w:szCs w:val="18"/>
      </w:rPr>
      <w:t>2</w:t>
    </w:r>
    <w:r>
      <w:rPr>
        <w:color w:val="595959"/>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082CF5" w14:textId="77777777" w:rsidR="009B0DAF" w:rsidRDefault="009B0DAF">
      <w:r>
        <w:separator/>
      </w:r>
    </w:p>
  </w:footnote>
  <w:footnote w:type="continuationSeparator" w:id="0">
    <w:p w14:paraId="3269E3AE" w14:textId="77777777" w:rsidR="009B0DAF" w:rsidRDefault="009B0DAF">
      <w:r>
        <w:continuationSeparator/>
      </w:r>
    </w:p>
  </w:footnote>
  <w:footnote w:id="1">
    <w:p w14:paraId="78576E7F" w14:textId="77777777" w:rsidR="00DF799B" w:rsidRDefault="00000000">
      <w:r>
        <w:rPr>
          <w:rStyle w:val="FootnoteReference"/>
        </w:rPr>
        <w:footnoteRef/>
      </w:r>
      <w:proofErr w:type="spellStart"/>
      <w:r>
        <w:rPr>
          <w:sz w:val="18"/>
          <w:szCs w:val="18"/>
        </w:rPr>
        <w:t>Prénom</w:t>
      </w:r>
      <w:proofErr w:type="spellEnd"/>
      <w:r>
        <w:rPr>
          <w:sz w:val="18"/>
          <w:szCs w:val="18"/>
        </w:rPr>
        <w:t xml:space="preserve">, Nom, affiliation, </w:t>
      </w:r>
      <w:proofErr w:type="spellStart"/>
      <w:r>
        <w:rPr>
          <w:sz w:val="18"/>
          <w:szCs w:val="18"/>
        </w:rPr>
        <w:t>adresse</w:t>
      </w:r>
      <w:proofErr w:type="spellEnd"/>
      <w:r>
        <w:rPr>
          <w:sz w:val="18"/>
          <w:szCs w:val="18"/>
        </w:rPr>
        <w:t xml:space="preserve"> </w:t>
      </w:r>
      <w:proofErr w:type="spellStart"/>
      <w:r>
        <w:rPr>
          <w:sz w:val="18"/>
          <w:szCs w:val="18"/>
        </w:rPr>
        <w:t>électronique</w:t>
      </w:r>
      <w:proofErr w:type="spell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9341C" w14:textId="77777777" w:rsidR="00DF799B" w:rsidRDefault="00000000">
    <w:pPr>
      <w:pBdr>
        <w:bottom w:val="single" w:sz="4" w:space="4" w:color="7A1E2B"/>
      </w:pBdr>
      <w:spacing w:after="120"/>
      <w:jc w:val="center"/>
    </w:pPr>
    <w:proofErr w:type="gramStart"/>
    <w:r>
      <w:rPr>
        <w:i/>
        <w:iCs/>
        <w:color w:val="595959"/>
        <w:spacing w:val="10"/>
        <w:sz w:val="18"/>
        <w:szCs w:val="18"/>
      </w:rPr>
      <w:t>DIALOGOS</w:t>
    </w:r>
    <w:r>
      <w:rPr>
        <w:color w:val="595959"/>
        <w:sz w:val="18"/>
        <w:szCs w:val="18"/>
      </w:rPr>
      <w:t xml:space="preserve">  ·</w:t>
    </w:r>
    <w:proofErr w:type="gramEnd"/>
    <w:r>
      <w:rPr>
        <w:color w:val="595959"/>
        <w:sz w:val="18"/>
        <w:szCs w:val="18"/>
      </w:rPr>
      <w:t xml:space="preserve">  </w:t>
    </w:r>
    <w:proofErr w:type="spellStart"/>
    <w:r>
      <w:rPr>
        <w:color w:val="595959"/>
        <w:sz w:val="18"/>
        <w:szCs w:val="18"/>
      </w:rPr>
      <w:t>Modèle</w:t>
    </w:r>
    <w:proofErr w:type="spellEnd"/>
    <w:r>
      <w:rPr>
        <w:color w:val="595959"/>
        <w:sz w:val="18"/>
        <w:szCs w:val="18"/>
      </w:rPr>
      <w:t xml:space="preserve"> </w:t>
    </w:r>
    <w:proofErr w:type="spellStart"/>
    <w:r>
      <w:rPr>
        <w:color w:val="595959"/>
        <w:sz w:val="18"/>
        <w:szCs w:val="18"/>
      </w:rPr>
      <w:t>d’article</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3F3861"/>
    <w:multiLevelType w:val="hybridMultilevel"/>
    <w:tmpl w:val="E08E4906"/>
    <w:lvl w:ilvl="0" w:tplc="CE263CCE">
      <w:start w:val="1"/>
      <w:numFmt w:val="bullet"/>
      <w:lvlText w:val="●"/>
      <w:lvlJc w:val="left"/>
      <w:pPr>
        <w:ind w:left="720" w:hanging="360"/>
      </w:pPr>
    </w:lvl>
    <w:lvl w:ilvl="1" w:tplc="FD1818AC">
      <w:start w:val="1"/>
      <w:numFmt w:val="bullet"/>
      <w:lvlText w:val="○"/>
      <w:lvlJc w:val="left"/>
      <w:pPr>
        <w:ind w:left="1440" w:hanging="360"/>
      </w:pPr>
    </w:lvl>
    <w:lvl w:ilvl="2" w:tplc="EA0C80D4">
      <w:start w:val="1"/>
      <w:numFmt w:val="bullet"/>
      <w:lvlText w:val="■"/>
      <w:lvlJc w:val="left"/>
      <w:pPr>
        <w:ind w:left="2160" w:hanging="360"/>
      </w:pPr>
    </w:lvl>
    <w:lvl w:ilvl="3" w:tplc="E114580A">
      <w:start w:val="1"/>
      <w:numFmt w:val="bullet"/>
      <w:lvlText w:val="●"/>
      <w:lvlJc w:val="left"/>
      <w:pPr>
        <w:ind w:left="2880" w:hanging="360"/>
      </w:pPr>
    </w:lvl>
    <w:lvl w:ilvl="4" w:tplc="C96844F0">
      <w:start w:val="1"/>
      <w:numFmt w:val="bullet"/>
      <w:lvlText w:val="○"/>
      <w:lvlJc w:val="left"/>
      <w:pPr>
        <w:ind w:left="3600" w:hanging="360"/>
      </w:pPr>
    </w:lvl>
    <w:lvl w:ilvl="5" w:tplc="300ED6A0">
      <w:start w:val="1"/>
      <w:numFmt w:val="bullet"/>
      <w:lvlText w:val="■"/>
      <w:lvlJc w:val="left"/>
      <w:pPr>
        <w:ind w:left="4320" w:hanging="360"/>
      </w:pPr>
    </w:lvl>
    <w:lvl w:ilvl="6" w:tplc="2F7E7A2C">
      <w:start w:val="1"/>
      <w:numFmt w:val="bullet"/>
      <w:lvlText w:val="●"/>
      <w:lvlJc w:val="left"/>
      <w:pPr>
        <w:ind w:left="5040" w:hanging="360"/>
      </w:pPr>
    </w:lvl>
    <w:lvl w:ilvl="7" w:tplc="6266541E">
      <w:start w:val="1"/>
      <w:numFmt w:val="bullet"/>
      <w:lvlText w:val="●"/>
      <w:lvlJc w:val="left"/>
      <w:pPr>
        <w:ind w:left="5760" w:hanging="360"/>
      </w:pPr>
    </w:lvl>
    <w:lvl w:ilvl="8" w:tplc="923C78E0">
      <w:start w:val="1"/>
      <w:numFmt w:val="bullet"/>
      <w:lvlText w:val="●"/>
      <w:lvlJc w:val="left"/>
      <w:pPr>
        <w:ind w:left="6480" w:hanging="360"/>
      </w:pPr>
    </w:lvl>
  </w:abstractNum>
  <w:num w:numId="1" w16cid:durableId="134894693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799B"/>
    <w:rsid w:val="00006F8D"/>
    <w:rsid w:val="00430FDC"/>
    <w:rsid w:val="009B0DAF"/>
    <w:rsid w:val="00C02551"/>
    <w:rsid w:val="00DF799B"/>
    <w:rsid w:val="00E73E21"/>
    <w:rsid w:val="00FF12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08A37"/>
  <w15:docId w15:val="{2EDF25BA-D458-4C4F-B4A7-C6F4F9F2B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1F4E79"/>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006F8D"/>
    <w:pPr>
      <w:tabs>
        <w:tab w:val="center" w:pos="4680"/>
        <w:tab w:val="right" w:pos="9360"/>
      </w:tabs>
    </w:pPr>
  </w:style>
  <w:style w:type="character" w:customStyle="1" w:styleId="HeaderChar">
    <w:name w:val="Header Char"/>
    <w:basedOn w:val="DefaultParagraphFont"/>
    <w:link w:val="Header"/>
    <w:uiPriority w:val="99"/>
    <w:rsid w:val="00006F8D"/>
  </w:style>
  <w:style w:type="paragraph" w:styleId="Footer">
    <w:name w:val="footer"/>
    <w:basedOn w:val="Normal"/>
    <w:link w:val="FooterChar"/>
    <w:uiPriority w:val="99"/>
    <w:unhideWhenUsed/>
    <w:rsid w:val="00006F8D"/>
    <w:pPr>
      <w:tabs>
        <w:tab w:val="center" w:pos="4680"/>
        <w:tab w:val="right" w:pos="9360"/>
      </w:tabs>
    </w:pPr>
  </w:style>
  <w:style w:type="character" w:customStyle="1" w:styleId="FooterChar">
    <w:name w:val="Footer Char"/>
    <w:basedOn w:val="DefaultParagraphFont"/>
    <w:link w:val="Footer"/>
    <w:uiPriority w:val="99"/>
    <w:rsid w:val="00006F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ceps.eu/system/files/WD%20383%20When%20do%20adults%20learn%20_NEUJOBS.pdf"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781</Words>
  <Characters>4452</Characters>
  <Application>Microsoft Office Word</Application>
  <DocSecurity>0</DocSecurity>
  <Lines>37</Lines>
  <Paragraphs>10</Paragraphs>
  <ScaleCrop>false</ScaleCrop>
  <Company/>
  <LinksUpToDate>false</LinksUpToDate>
  <CharactersWithSpaces>5223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Olivia-Cristina Rusu</cp:lastModifiedBy>
  <cp:revision>3</cp:revision>
  <dcterms:created xsi:type="dcterms:W3CDTF">2026-07-31T17:13:00Z</dcterms:created>
  <dcterms:modified xsi:type="dcterms:W3CDTF">2026-08-04T15:58:00Z</dcterms:modified>
</cp:coreProperties>
</file>